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719E"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 THE OGPOA PROPERTY OWNERS ASSOCIATION, INC.</w:t>
      </w:r>
    </w:p>
    <w:p w14:paraId="0F9C62B7"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BOARD MEETING</w:t>
      </w:r>
    </w:p>
    <w:p w14:paraId="7D83AF50"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December 3rd, 2021</w:t>
      </w:r>
    </w:p>
    <w:p w14:paraId="3FE9900A" w14:textId="12AC0833"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1</w:t>
      </w:r>
      <w:r>
        <w:rPr>
          <w:rFonts w:ascii="Arial" w:eastAsia="Times New Roman" w:hAnsi="Arial" w:cs="Arial"/>
          <w:b/>
          <w:bCs/>
          <w:color w:val="000000"/>
          <w:sz w:val="20"/>
          <w:szCs w:val="20"/>
        </w:rPr>
        <w:t>1</w:t>
      </w:r>
      <w:r w:rsidRPr="00935BFE">
        <w:rPr>
          <w:rFonts w:ascii="Arial" w:eastAsia="Times New Roman" w:hAnsi="Arial" w:cs="Arial"/>
          <w:b/>
          <w:bCs/>
          <w:color w:val="000000"/>
          <w:sz w:val="20"/>
          <w:szCs w:val="20"/>
        </w:rPr>
        <w:t>:</w:t>
      </w:r>
      <w:r>
        <w:rPr>
          <w:rFonts w:ascii="Arial" w:eastAsia="Times New Roman" w:hAnsi="Arial" w:cs="Arial"/>
          <w:b/>
          <w:bCs/>
          <w:color w:val="000000"/>
          <w:sz w:val="20"/>
          <w:szCs w:val="20"/>
        </w:rPr>
        <w:t>0</w:t>
      </w:r>
      <w:r w:rsidRPr="00935BFE">
        <w:rPr>
          <w:rFonts w:ascii="Arial" w:eastAsia="Times New Roman" w:hAnsi="Arial" w:cs="Arial"/>
          <w:b/>
          <w:bCs/>
          <w:color w:val="000000"/>
          <w:sz w:val="20"/>
          <w:szCs w:val="20"/>
        </w:rPr>
        <w:t>0 a.m.</w:t>
      </w:r>
    </w:p>
    <w:p w14:paraId="7E47B2C2"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1FA1C898"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The Annual Board meeting of the Board of Directors for The Ocean Gallery Property Owners Association, Inc. was held this date and time in the Ocean Gallery Clubhouse, 4600 A1A South, St. Augustine, FL  32080.</w:t>
      </w:r>
    </w:p>
    <w:p w14:paraId="1C993C79"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3DB1ABD9"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President Ray Belz called the meeting to order at 11:05 a.m. </w:t>
      </w:r>
    </w:p>
    <w:p w14:paraId="641A7F05"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787BED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 xml:space="preserve">Call To Order: </w:t>
      </w:r>
      <w:r w:rsidRPr="00935BFE">
        <w:rPr>
          <w:rFonts w:ascii="Arial" w:eastAsia="Times New Roman" w:hAnsi="Arial" w:cs="Arial"/>
          <w:b/>
          <w:bCs/>
          <w:i/>
          <w:iCs/>
          <w:color w:val="000000"/>
          <w:sz w:val="20"/>
          <w:szCs w:val="20"/>
        </w:rPr>
        <w:t>                                                                </w:t>
      </w:r>
    </w:p>
    <w:p w14:paraId="5DB0A6F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Ray Belz </w:t>
      </w:r>
    </w:p>
    <w:p w14:paraId="5D01B39C"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Kathy Wiles </w:t>
      </w:r>
    </w:p>
    <w:p w14:paraId="255440C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Brandi Noegel </w:t>
      </w:r>
    </w:p>
    <w:p w14:paraId="2C45518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Carolyn Harbourt</w:t>
      </w:r>
    </w:p>
    <w:p w14:paraId="7A5690D2"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John Heyer</w:t>
      </w:r>
    </w:p>
    <w:p w14:paraId="65FEB921"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Sam Price</w:t>
      </w:r>
    </w:p>
    <w:p w14:paraId="7811161B"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Les Stoklosa </w:t>
      </w:r>
    </w:p>
    <w:p w14:paraId="4289F1F6"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4114306D"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Proof of Notice:</w:t>
      </w:r>
    </w:p>
    <w:p w14:paraId="3E929911"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Notice of the Annual Board meeting was mailed to the membership and posted on all official bulletin boards of the association in accordance with the FS720 on November 4th, 2021. </w:t>
      </w:r>
    </w:p>
    <w:p w14:paraId="1907085B"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3DD8431B"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President Belz advised the membership that questions from the audience would be addressed after each topic.</w:t>
      </w:r>
    </w:p>
    <w:p w14:paraId="2C93378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26C706C6"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Approval of Minutes:</w:t>
      </w:r>
    </w:p>
    <w:p w14:paraId="3C5B98A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A motion was made by Brandi Noegel and seconded by Carolyn Harbourt to approve the minutes as presented.  All were in favor, and the motion passed. (See Exhibit A) </w:t>
      </w:r>
    </w:p>
    <w:p w14:paraId="20FBCD0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6F66720"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Treasurer’s Report:</w:t>
      </w:r>
    </w:p>
    <w:p w14:paraId="65DF3D0B"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Treasurer Brandi Noegel briefly discussed the current financial status. (See Exhibit B)</w:t>
      </w:r>
    </w:p>
    <w:p w14:paraId="4035CA1B"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A9731F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Real Estate Report:</w:t>
      </w:r>
    </w:p>
    <w:p w14:paraId="4565C25A"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Carmen Gilliland from Premier Properties gave the Real Estate Report (See Exhibit C). The onsite Real Estate company has sold close to 30 condos to date. The referral commission to OG at this time is $50,448.75. The real estate company is currently without any listings. </w:t>
      </w:r>
    </w:p>
    <w:p w14:paraId="6BDDD1C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57D6273D" w14:textId="77777777" w:rsidR="00FE2073" w:rsidRDefault="00935BFE" w:rsidP="00FE2073">
      <w:pPr>
        <w:spacing w:after="0" w:line="240" w:lineRule="auto"/>
        <w:rPr>
          <w:rFonts w:ascii="Arial" w:eastAsia="Times New Roman" w:hAnsi="Arial" w:cs="Arial"/>
          <w:b/>
          <w:bCs/>
          <w:i/>
          <w:iCs/>
          <w:color w:val="000000"/>
          <w:sz w:val="20"/>
          <w:szCs w:val="20"/>
          <w:u w:val="single"/>
        </w:rPr>
      </w:pPr>
      <w:r w:rsidRPr="00935BFE">
        <w:rPr>
          <w:rFonts w:ascii="Arial" w:eastAsia="Times New Roman" w:hAnsi="Arial" w:cs="Arial"/>
          <w:b/>
          <w:bCs/>
          <w:i/>
          <w:iCs/>
          <w:color w:val="000000"/>
          <w:sz w:val="20"/>
          <w:szCs w:val="20"/>
          <w:u w:val="single"/>
        </w:rPr>
        <w:t>Committee Reports</w:t>
      </w:r>
    </w:p>
    <w:p w14:paraId="5FD675A8" w14:textId="1B0B64C5" w:rsidR="00935BFE" w:rsidRPr="00FE2073" w:rsidRDefault="00935BFE" w:rsidP="00FE2073">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ARC report – Sam Price briefly discussed the 5 ARC’s actions since the last OGPOA meeting on August 20th, 2021. </w:t>
      </w:r>
    </w:p>
    <w:p w14:paraId="416C8998"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BE764B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Rental Dept:</w:t>
      </w:r>
    </w:p>
    <w:p w14:paraId="770F6172" w14:textId="284B1A85"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The OGP has had a hectic year. Based on the re</w:t>
      </w:r>
      <w:r w:rsidR="00FA1C46">
        <w:rPr>
          <w:rFonts w:ascii="Arial" w:eastAsia="Times New Roman" w:hAnsi="Arial" w:cs="Arial"/>
          <w:color w:val="000000"/>
          <w:sz w:val="20"/>
          <w:szCs w:val="20"/>
        </w:rPr>
        <w:t>-</w:t>
      </w:r>
      <w:r w:rsidRPr="00935BFE">
        <w:rPr>
          <w:rFonts w:ascii="Arial" w:eastAsia="Times New Roman" w:hAnsi="Arial" w:cs="Arial"/>
          <w:color w:val="000000"/>
          <w:sz w:val="20"/>
          <w:szCs w:val="20"/>
        </w:rPr>
        <w:t xml:space="preserve">bookings for 2022, the OGP looks like they will have a good year. </w:t>
      </w:r>
      <w:r w:rsidR="00FE2073">
        <w:rPr>
          <w:rFonts w:ascii="Arial" w:eastAsia="Times New Roman" w:hAnsi="Arial" w:cs="Arial"/>
          <w:color w:val="000000"/>
          <w:sz w:val="20"/>
          <w:szCs w:val="20"/>
        </w:rPr>
        <w:t>During the</w:t>
      </w:r>
      <w:r w:rsidRPr="00935BFE">
        <w:rPr>
          <w:rFonts w:ascii="Arial" w:eastAsia="Times New Roman" w:hAnsi="Arial" w:cs="Arial"/>
          <w:color w:val="000000"/>
          <w:sz w:val="20"/>
          <w:szCs w:val="20"/>
        </w:rPr>
        <w:t xml:space="preserve"> first few months of the year, monthly bookings decreased due to Covid cancellations, but the seasonal reservations made up for the shortfall. The total sales as of 11/1/21 were about 4 million and nearly 3 million in owner payments. As of 11/16/21, OGP has made 1,701 reservations. The total monthly re-bookings for 2022 are 179 and 663 seasonal bookings. The OGP currently has 171 active rental units, including 8 long-term rental units. Anne advised the membership that the second PPP Loan had been forgiven. (See Exhibit D)</w:t>
      </w:r>
    </w:p>
    <w:p w14:paraId="241A4F9F"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206D4E52"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C62652D"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lastRenderedPageBreak/>
        <w:t>General Manager’s Report:</w:t>
      </w:r>
    </w:p>
    <w:p w14:paraId="05D02A78" w14:textId="79931BB4"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Sherri Johnson, GM, gave her manager’s report (See Exhibit E). Some of the items of interest were: </w:t>
      </w:r>
    </w:p>
    <w:p w14:paraId="1DF9FD23"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A70DC64" w14:textId="595FEA01"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 The Comcast install has been completed, and all issues have been resolved besides the labor dollars expended from the OGPOA. The OGPOA is out roughly $53,000 from the Special Teams labor for the wiring </w:t>
      </w:r>
      <w:r w:rsidR="00FE2073">
        <w:rPr>
          <w:rFonts w:ascii="Arial" w:eastAsia="Times New Roman" w:hAnsi="Arial" w:cs="Arial"/>
          <w:color w:val="000000"/>
          <w:sz w:val="20"/>
          <w:szCs w:val="20"/>
        </w:rPr>
        <w:t>installation</w:t>
      </w:r>
      <w:r w:rsidRPr="00935BFE">
        <w:rPr>
          <w:rFonts w:ascii="Arial" w:eastAsia="Times New Roman" w:hAnsi="Arial" w:cs="Arial"/>
          <w:color w:val="000000"/>
          <w:sz w:val="20"/>
          <w:szCs w:val="20"/>
        </w:rPr>
        <w:t>. Comcast has offered to reimburse the OGPOA</w:t>
      </w:r>
      <w:r w:rsidR="002C7841">
        <w:rPr>
          <w:rFonts w:ascii="Arial" w:eastAsia="Times New Roman" w:hAnsi="Arial" w:cs="Arial"/>
          <w:color w:val="000000"/>
          <w:sz w:val="20"/>
          <w:szCs w:val="20"/>
        </w:rPr>
        <w:t xml:space="preserve"> for approximately</w:t>
      </w:r>
      <w:r w:rsidRPr="00935BFE">
        <w:rPr>
          <w:rFonts w:ascii="Arial" w:eastAsia="Times New Roman" w:hAnsi="Arial" w:cs="Arial"/>
          <w:color w:val="000000"/>
          <w:sz w:val="20"/>
          <w:szCs w:val="20"/>
        </w:rPr>
        <w:t xml:space="preserve"> $6,000. Sherri will continue to negotiate with Comcast to receive a more significant reimbursement. </w:t>
      </w:r>
    </w:p>
    <w:p w14:paraId="76C3B666"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4D397199" w14:textId="32A952A8"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The asphalt resealing project went very well. Many owners appreciated the office’s communication regarding updates and keeping them informed of the progress. The contractor, Burres Parking Lot Maintenance, recommends that we consider applying another resealing in the next few years to extend the life and look of the asphalt. The cost of this project was $38,000, which was a reserve expenditure.</w:t>
      </w:r>
    </w:p>
    <w:p w14:paraId="2FC7CEE1"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F584E7B" w14:textId="21551D93"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The most important item of interest to everyone </w:t>
      </w:r>
      <w:r w:rsidR="00FA1C46">
        <w:rPr>
          <w:rFonts w:ascii="Arial" w:eastAsia="Times New Roman" w:hAnsi="Arial" w:cs="Arial"/>
          <w:color w:val="000000"/>
          <w:sz w:val="20"/>
          <w:szCs w:val="20"/>
        </w:rPr>
        <w:t>in</w:t>
      </w:r>
      <w:r w:rsidRPr="00935BFE">
        <w:rPr>
          <w:rFonts w:ascii="Arial" w:eastAsia="Times New Roman" w:hAnsi="Arial" w:cs="Arial"/>
          <w:color w:val="000000"/>
          <w:sz w:val="20"/>
          <w:szCs w:val="20"/>
        </w:rPr>
        <w:t xml:space="preserve"> the Clubhouse pool renovation.</w:t>
      </w:r>
      <w:r w:rsidR="002C7841">
        <w:rPr>
          <w:rFonts w:ascii="Arial" w:eastAsia="Times New Roman" w:hAnsi="Arial" w:cs="Arial"/>
          <w:color w:val="000000"/>
          <w:sz w:val="20"/>
          <w:szCs w:val="20"/>
        </w:rPr>
        <w:t xml:space="preserve"> </w:t>
      </w:r>
      <w:r w:rsidRPr="00935BFE">
        <w:rPr>
          <w:rFonts w:ascii="Arial" w:eastAsia="Times New Roman" w:hAnsi="Arial" w:cs="Arial"/>
          <w:color w:val="000000"/>
          <w:sz w:val="20"/>
          <w:szCs w:val="20"/>
        </w:rPr>
        <w:t>Renesys is currently working in Miami and will come to Ocean Gallery when their current project is completed. Renesys estimates our project to take 7 to 10 calendar days to complete. Our team will need about a week to finish the rest before it is up and running. We are looking at a re-opening date between December 31st to January 3rd. </w:t>
      </w:r>
    </w:p>
    <w:p w14:paraId="19C775C4"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3FD92B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Taylor Tree Services has completed the palm tree trimming. Unfortunately, we were much later on the palm tree trimming this year due to Taylor’s staffing shortage. The contractor mentioned that the prices would be higher next year, but he could not give a price at this time. </w:t>
      </w:r>
    </w:p>
    <w:p w14:paraId="01F1ED91"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393395EA" w14:textId="26C1A43F"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Signature cards need to be updated for the accounts at PNC, TD Bank, and Vystar. Sherri Johnson recommends two Board members and the G</w:t>
      </w:r>
      <w:r w:rsidR="00FA1C46">
        <w:rPr>
          <w:rFonts w:ascii="Arial" w:eastAsia="Times New Roman" w:hAnsi="Arial" w:cs="Arial"/>
          <w:color w:val="000000"/>
          <w:sz w:val="20"/>
          <w:szCs w:val="20"/>
        </w:rPr>
        <w:t>eneral Manager be</w:t>
      </w:r>
      <w:r w:rsidRPr="00935BFE">
        <w:rPr>
          <w:rFonts w:ascii="Arial" w:eastAsia="Times New Roman" w:hAnsi="Arial" w:cs="Arial"/>
          <w:color w:val="000000"/>
          <w:sz w:val="20"/>
          <w:szCs w:val="20"/>
        </w:rPr>
        <w:t xml:space="preserve"> on the signature cards. </w:t>
      </w:r>
    </w:p>
    <w:p w14:paraId="0B0AFB5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4CAEFA3" w14:textId="0CC9B9F7" w:rsidR="00935BFE" w:rsidRPr="002C7841" w:rsidRDefault="00935BFE" w:rsidP="002C7841">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Old Business:</w:t>
      </w:r>
    </w:p>
    <w:p w14:paraId="485804A0" w14:textId="5C429434" w:rsidR="00935BFE" w:rsidRPr="00935BFE" w:rsidRDefault="002C7841" w:rsidP="002C784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Back on August 20</w:t>
      </w:r>
      <w:r w:rsidRPr="002C7841">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the board motioned to move the reserve funding from the current straight-line method to the </w:t>
      </w:r>
      <w:r w:rsidR="00935BFE" w:rsidRPr="00935BFE">
        <w:rPr>
          <w:rFonts w:ascii="Arial" w:eastAsia="Times New Roman" w:hAnsi="Arial" w:cs="Arial"/>
          <w:color w:val="000000"/>
          <w:sz w:val="20"/>
          <w:szCs w:val="20"/>
        </w:rPr>
        <w:t>pooled accounting method. The official proxy count from the membership</w:t>
      </w:r>
    </w:p>
    <w:p w14:paraId="231E756C" w14:textId="48605364" w:rsidR="00FA1C46" w:rsidRPr="00FA1C46" w:rsidRDefault="00935BFE" w:rsidP="002C7841">
      <w:pPr>
        <w:spacing w:after="0" w:line="240" w:lineRule="auto"/>
        <w:rPr>
          <w:rFonts w:ascii="Arial" w:eastAsia="Times New Roman" w:hAnsi="Arial" w:cs="Arial"/>
          <w:color w:val="000000"/>
          <w:sz w:val="20"/>
          <w:szCs w:val="20"/>
        </w:rPr>
      </w:pPr>
      <w:r w:rsidRPr="00935BFE">
        <w:rPr>
          <w:rFonts w:ascii="Arial" w:eastAsia="Times New Roman" w:hAnsi="Arial" w:cs="Arial"/>
          <w:color w:val="000000"/>
          <w:sz w:val="20"/>
          <w:szCs w:val="20"/>
        </w:rPr>
        <w:t xml:space="preserve">was 275 “Yes” and 3 “No.” The OGPOA will move forward with the pooled accounting method in January 2022. The OGPOA will increase the annual reserve contribution to $133,00 to enable the OGPOA to improve the funding strength to be fully funded by the end of the 30-year forecast. (See Exhibit F). </w:t>
      </w:r>
      <w:r w:rsidR="002C7841">
        <w:rPr>
          <w:rFonts w:ascii="Arial" w:eastAsia="Times New Roman" w:hAnsi="Arial" w:cs="Arial"/>
          <w:color w:val="000000"/>
          <w:sz w:val="20"/>
          <w:szCs w:val="20"/>
        </w:rPr>
        <w:t>In addition</w:t>
      </w:r>
      <w:r w:rsidR="00F0436D">
        <w:rPr>
          <w:rFonts w:ascii="Arial" w:eastAsia="Times New Roman" w:hAnsi="Arial" w:cs="Arial"/>
          <w:color w:val="000000"/>
          <w:sz w:val="20"/>
          <w:szCs w:val="20"/>
        </w:rPr>
        <w:t>,</w:t>
      </w:r>
      <w:r w:rsidR="002C7841">
        <w:rPr>
          <w:rFonts w:ascii="Arial" w:eastAsia="Times New Roman" w:hAnsi="Arial" w:cs="Arial"/>
          <w:color w:val="000000"/>
          <w:sz w:val="20"/>
          <w:szCs w:val="20"/>
        </w:rPr>
        <w:t xml:space="preserve"> the board will consider transferring $200,000 </w:t>
      </w:r>
      <w:r w:rsidR="00F0436D">
        <w:rPr>
          <w:rFonts w:ascii="Arial" w:eastAsia="Times New Roman" w:hAnsi="Arial" w:cs="Arial"/>
          <w:color w:val="000000"/>
          <w:sz w:val="20"/>
          <w:szCs w:val="20"/>
        </w:rPr>
        <w:t xml:space="preserve">from </w:t>
      </w:r>
      <w:r w:rsidR="00A8776B">
        <w:rPr>
          <w:rFonts w:ascii="Arial" w:eastAsia="Times New Roman" w:hAnsi="Arial" w:cs="Arial"/>
          <w:color w:val="000000"/>
          <w:sz w:val="20"/>
          <w:szCs w:val="20"/>
        </w:rPr>
        <w:t xml:space="preserve">the </w:t>
      </w:r>
      <w:r w:rsidR="00F0436D">
        <w:rPr>
          <w:rFonts w:ascii="Arial" w:eastAsia="Times New Roman" w:hAnsi="Arial" w:cs="Arial"/>
          <w:color w:val="000000"/>
          <w:sz w:val="20"/>
          <w:szCs w:val="20"/>
        </w:rPr>
        <w:t>operating</w:t>
      </w:r>
      <w:r w:rsidR="00A8776B">
        <w:rPr>
          <w:rFonts w:ascii="Arial" w:eastAsia="Times New Roman" w:hAnsi="Arial" w:cs="Arial"/>
          <w:color w:val="000000"/>
          <w:sz w:val="20"/>
          <w:szCs w:val="20"/>
        </w:rPr>
        <w:t xml:space="preserve"> account</w:t>
      </w:r>
      <w:r w:rsidR="00F0436D">
        <w:rPr>
          <w:rFonts w:ascii="Arial" w:eastAsia="Times New Roman" w:hAnsi="Arial" w:cs="Arial"/>
          <w:color w:val="000000"/>
          <w:sz w:val="20"/>
          <w:szCs w:val="20"/>
        </w:rPr>
        <w:t xml:space="preserve"> to the reserve</w:t>
      </w:r>
      <w:r w:rsidR="00A8776B">
        <w:rPr>
          <w:rFonts w:ascii="Arial" w:eastAsia="Times New Roman" w:hAnsi="Arial" w:cs="Arial"/>
          <w:color w:val="000000"/>
          <w:sz w:val="20"/>
          <w:szCs w:val="20"/>
        </w:rPr>
        <w:t xml:space="preserve"> account</w:t>
      </w:r>
      <w:r w:rsidR="00F0436D">
        <w:rPr>
          <w:rFonts w:ascii="Arial" w:eastAsia="Times New Roman" w:hAnsi="Arial" w:cs="Arial"/>
          <w:color w:val="000000"/>
          <w:sz w:val="20"/>
          <w:szCs w:val="20"/>
        </w:rPr>
        <w:t xml:space="preserve"> in 2022($100,000 </w:t>
      </w:r>
      <w:r w:rsidR="00FF18D5">
        <w:rPr>
          <w:rFonts w:ascii="Arial" w:eastAsia="Times New Roman" w:hAnsi="Arial" w:cs="Arial"/>
          <w:color w:val="000000"/>
          <w:sz w:val="20"/>
          <w:szCs w:val="20"/>
        </w:rPr>
        <w:t>by</w:t>
      </w:r>
      <w:r w:rsidR="00F0436D">
        <w:rPr>
          <w:rFonts w:ascii="Arial" w:eastAsia="Times New Roman" w:hAnsi="Arial" w:cs="Arial"/>
          <w:color w:val="000000"/>
          <w:sz w:val="20"/>
          <w:szCs w:val="20"/>
        </w:rPr>
        <w:t xml:space="preserve"> early 2022 and $100,000 at the end of 2022). </w:t>
      </w:r>
      <w:r w:rsidRPr="00935BFE">
        <w:rPr>
          <w:rFonts w:ascii="Arial" w:eastAsia="Times New Roman" w:hAnsi="Arial" w:cs="Arial"/>
          <w:color w:val="000000"/>
          <w:sz w:val="20"/>
          <w:szCs w:val="20"/>
        </w:rPr>
        <w:t xml:space="preserve">Kathy Wiles made a motion to move $100,000 from the operating </w:t>
      </w:r>
      <w:r w:rsidR="00FA1C46">
        <w:rPr>
          <w:rFonts w:ascii="Arial" w:eastAsia="Times New Roman" w:hAnsi="Arial" w:cs="Arial"/>
          <w:color w:val="000000"/>
          <w:sz w:val="20"/>
          <w:szCs w:val="20"/>
        </w:rPr>
        <w:t>budget</w:t>
      </w:r>
      <w:r w:rsidRPr="00935BFE">
        <w:rPr>
          <w:rFonts w:ascii="Arial" w:eastAsia="Times New Roman" w:hAnsi="Arial" w:cs="Arial"/>
          <w:color w:val="000000"/>
          <w:sz w:val="20"/>
          <w:szCs w:val="20"/>
        </w:rPr>
        <w:t xml:space="preserve"> to the reserve account by December 31st, 2021. Brandi Noegel seconded the motion, and with all in favor, the motion passed.  Every 3-years, the OGPOA will hire an outside company to perform a reserve study. This study will cost the board roughly $2,000. </w:t>
      </w:r>
    </w:p>
    <w:p w14:paraId="73B18EB2" w14:textId="77777777" w:rsidR="00F0436D" w:rsidRDefault="00F0436D" w:rsidP="002C7841">
      <w:pPr>
        <w:spacing w:after="0" w:line="240" w:lineRule="auto"/>
        <w:textAlignment w:val="baseline"/>
        <w:rPr>
          <w:rFonts w:ascii="Arial" w:eastAsia="Times New Roman" w:hAnsi="Arial" w:cs="Arial"/>
          <w:color w:val="000000"/>
          <w:sz w:val="20"/>
          <w:szCs w:val="20"/>
        </w:rPr>
      </w:pPr>
    </w:p>
    <w:p w14:paraId="32050B23" w14:textId="7248F37A" w:rsidR="00935BFE" w:rsidRPr="00935BFE" w:rsidRDefault="00935BFE" w:rsidP="002C7841">
      <w:pPr>
        <w:spacing w:after="0" w:line="240" w:lineRule="auto"/>
        <w:textAlignment w:val="baseline"/>
        <w:rPr>
          <w:rFonts w:ascii="Arial" w:eastAsia="Times New Roman" w:hAnsi="Arial" w:cs="Arial"/>
          <w:color w:val="000000"/>
          <w:sz w:val="20"/>
          <w:szCs w:val="20"/>
        </w:rPr>
      </w:pPr>
      <w:r w:rsidRPr="00935BFE">
        <w:rPr>
          <w:rFonts w:ascii="Arial" w:eastAsia="Times New Roman" w:hAnsi="Arial" w:cs="Arial"/>
          <w:color w:val="000000"/>
          <w:sz w:val="20"/>
          <w:szCs w:val="20"/>
        </w:rPr>
        <w:t>Pickleball Court Update- The OGPOA is moving forward with purchasing a new tennis net crank to lower the net when pickleball is being played. This solution works both for tennis players and pickleball players. A new tennis cable has been installed to allow a more effortless net adjustment. </w:t>
      </w:r>
    </w:p>
    <w:p w14:paraId="39279E5D" w14:textId="77777777" w:rsidR="00F0436D" w:rsidRDefault="00F0436D" w:rsidP="002C7841">
      <w:pPr>
        <w:spacing w:after="0" w:line="240" w:lineRule="auto"/>
        <w:textAlignment w:val="baseline"/>
        <w:rPr>
          <w:rFonts w:ascii="Arial" w:eastAsia="Times New Roman" w:hAnsi="Arial" w:cs="Arial"/>
          <w:color w:val="000000"/>
          <w:sz w:val="20"/>
          <w:szCs w:val="20"/>
        </w:rPr>
      </w:pPr>
    </w:p>
    <w:p w14:paraId="068913F6" w14:textId="23140E63" w:rsidR="00935BFE" w:rsidRPr="00935BFE" w:rsidRDefault="00935BFE" w:rsidP="002C7841">
      <w:pPr>
        <w:spacing w:after="0" w:line="240" w:lineRule="auto"/>
        <w:textAlignment w:val="baseline"/>
        <w:rPr>
          <w:rFonts w:ascii="Arial" w:eastAsia="Times New Roman" w:hAnsi="Arial" w:cs="Arial"/>
          <w:color w:val="000000"/>
          <w:sz w:val="20"/>
          <w:szCs w:val="20"/>
        </w:rPr>
      </w:pPr>
      <w:r w:rsidRPr="00935BFE">
        <w:rPr>
          <w:rFonts w:ascii="Arial" w:eastAsia="Times New Roman" w:hAnsi="Arial" w:cs="Arial"/>
          <w:color w:val="000000"/>
          <w:sz w:val="20"/>
          <w:szCs w:val="20"/>
        </w:rPr>
        <w:t xml:space="preserve">AED Update- After a brief discussion, the board has decided to </w:t>
      </w:r>
      <w:r w:rsidR="00274728">
        <w:rPr>
          <w:rFonts w:ascii="Arial" w:eastAsia="Times New Roman" w:hAnsi="Arial" w:cs="Arial"/>
          <w:color w:val="000000"/>
          <w:sz w:val="20"/>
          <w:szCs w:val="20"/>
        </w:rPr>
        <w:t>defer any actions on</w:t>
      </w:r>
      <w:r w:rsidRPr="00935BFE">
        <w:rPr>
          <w:rFonts w:ascii="Arial" w:eastAsia="Times New Roman" w:hAnsi="Arial" w:cs="Arial"/>
          <w:color w:val="000000"/>
          <w:sz w:val="20"/>
          <w:szCs w:val="20"/>
        </w:rPr>
        <w:t xml:space="preserve"> installing an AED on the property.</w:t>
      </w:r>
    </w:p>
    <w:p w14:paraId="6E296DCC" w14:textId="77777777" w:rsidR="00F0436D" w:rsidRDefault="00F0436D" w:rsidP="002C7841">
      <w:pPr>
        <w:spacing w:after="0" w:line="240" w:lineRule="auto"/>
        <w:textAlignment w:val="baseline"/>
        <w:rPr>
          <w:rFonts w:ascii="Arial" w:eastAsia="Times New Roman" w:hAnsi="Arial" w:cs="Arial"/>
          <w:color w:val="000000"/>
          <w:sz w:val="20"/>
          <w:szCs w:val="20"/>
        </w:rPr>
      </w:pPr>
    </w:p>
    <w:p w14:paraId="53CF7A77" w14:textId="072C763D" w:rsidR="00935BFE" w:rsidRPr="00935BFE" w:rsidRDefault="00935BFE" w:rsidP="002C7841">
      <w:pPr>
        <w:spacing w:after="0" w:line="240" w:lineRule="auto"/>
        <w:textAlignment w:val="baseline"/>
        <w:rPr>
          <w:rFonts w:ascii="Arial" w:eastAsia="Times New Roman" w:hAnsi="Arial" w:cs="Arial"/>
          <w:color w:val="000000"/>
          <w:sz w:val="20"/>
          <w:szCs w:val="20"/>
        </w:rPr>
      </w:pPr>
      <w:r w:rsidRPr="00935BFE">
        <w:rPr>
          <w:rFonts w:ascii="Arial" w:eastAsia="Times New Roman" w:hAnsi="Arial" w:cs="Arial"/>
          <w:color w:val="000000"/>
          <w:sz w:val="20"/>
          <w:szCs w:val="20"/>
        </w:rPr>
        <w:t>EV Stations Update-</w:t>
      </w:r>
      <w:r w:rsidR="00A8776B">
        <w:rPr>
          <w:rFonts w:ascii="Arial" w:eastAsia="Times New Roman" w:hAnsi="Arial" w:cs="Arial"/>
          <w:color w:val="000000"/>
          <w:sz w:val="20"/>
          <w:szCs w:val="20"/>
        </w:rPr>
        <w:t xml:space="preserve"> As electric vehicles become more popular, the OGPOA will determine the feasibility of installing the electric charging stations in Ocean Gallery. The Board will continue to follow the developments on this issue.   </w:t>
      </w:r>
    </w:p>
    <w:p w14:paraId="7B5933C5" w14:textId="77777777" w:rsidR="00B63FA2" w:rsidRDefault="00B63FA2" w:rsidP="00935BFE">
      <w:pPr>
        <w:spacing w:after="0" w:line="240" w:lineRule="auto"/>
        <w:rPr>
          <w:rFonts w:ascii="Arial" w:eastAsia="Times New Roman" w:hAnsi="Arial" w:cs="Arial"/>
          <w:b/>
          <w:bCs/>
          <w:i/>
          <w:iCs/>
          <w:color w:val="000000"/>
          <w:sz w:val="20"/>
          <w:szCs w:val="20"/>
          <w:u w:val="single"/>
        </w:rPr>
      </w:pPr>
    </w:p>
    <w:p w14:paraId="599A069D" w14:textId="0BA8A0B2"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New Business:</w:t>
      </w:r>
    </w:p>
    <w:p w14:paraId="04FC97A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Four candidates were volunteering for the Rental board. The board appointed Bill Loughead and Candie Cook for the two open OGP positions by secret ballot. </w:t>
      </w:r>
    </w:p>
    <w:p w14:paraId="695249EA"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63FF9DE" w14:textId="77777777" w:rsidR="007B589A" w:rsidRDefault="007B589A" w:rsidP="00935BFE">
      <w:pPr>
        <w:spacing w:after="0" w:line="240" w:lineRule="auto"/>
        <w:rPr>
          <w:rFonts w:ascii="Arial" w:eastAsia="Times New Roman" w:hAnsi="Arial" w:cs="Arial"/>
          <w:b/>
          <w:bCs/>
          <w:i/>
          <w:iCs/>
          <w:color w:val="000000"/>
          <w:sz w:val="20"/>
          <w:szCs w:val="20"/>
          <w:u w:val="single"/>
        </w:rPr>
      </w:pPr>
    </w:p>
    <w:p w14:paraId="14EA7FF6" w14:textId="5841FAD1"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lastRenderedPageBreak/>
        <w:t>Correspondence:</w:t>
      </w:r>
    </w:p>
    <w:p w14:paraId="033BADB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None </w:t>
      </w:r>
    </w:p>
    <w:p w14:paraId="238381BF"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07154E70" w14:textId="31D1BC85"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With no other business to discuss, a motion was made by Kathy Wiles and seconded by Carolyn Harbourt to adjourn, and with all in favor, the meeting adjourned at </w:t>
      </w:r>
      <w:r w:rsidR="00FA1C46">
        <w:rPr>
          <w:rFonts w:ascii="Arial" w:eastAsia="Times New Roman" w:hAnsi="Arial" w:cs="Arial"/>
          <w:color w:val="000000"/>
          <w:sz w:val="20"/>
          <w:szCs w:val="20"/>
        </w:rPr>
        <w:t>11:50 am</w:t>
      </w:r>
    </w:p>
    <w:p w14:paraId="576EE532"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545B861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Respectfully submitted,</w:t>
      </w:r>
    </w:p>
    <w:p w14:paraId="5633A21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Les Stoklosa, Secretary</w:t>
      </w:r>
    </w:p>
    <w:p w14:paraId="15DDB9ED"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63278B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__________________________</w:t>
      </w:r>
    </w:p>
    <w:p w14:paraId="094DC021"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color w:val="000000"/>
          <w:sz w:val="16"/>
          <w:szCs w:val="16"/>
        </w:rPr>
        <w:t>Prepared for the board by Prop Mgmt   </w:t>
      </w:r>
    </w:p>
    <w:p w14:paraId="06D05595"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016FF35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6A86FF10" w14:textId="77777777" w:rsidR="00935BFE" w:rsidRDefault="00935BFE"/>
    <w:sectPr w:rsidR="0093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7B"/>
    <w:multiLevelType w:val="multilevel"/>
    <w:tmpl w:val="E154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76557"/>
    <w:multiLevelType w:val="multilevel"/>
    <w:tmpl w:val="01F4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10C78"/>
    <w:multiLevelType w:val="hybridMultilevel"/>
    <w:tmpl w:val="31503CFC"/>
    <w:lvl w:ilvl="0" w:tplc="18D2B296">
      <w:start w:val="5"/>
      <w:numFmt w:val="lowerLetter"/>
      <w:lvlText w:val="%1."/>
      <w:lvlJc w:val="left"/>
      <w:pPr>
        <w:tabs>
          <w:tab w:val="num" w:pos="720"/>
        </w:tabs>
        <w:ind w:left="720" w:hanging="360"/>
      </w:pPr>
    </w:lvl>
    <w:lvl w:ilvl="1" w:tplc="B6DA3B24">
      <w:start w:val="1"/>
      <w:numFmt w:val="decimal"/>
      <w:lvlText w:val="%2."/>
      <w:lvlJc w:val="left"/>
      <w:pPr>
        <w:tabs>
          <w:tab w:val="num" w:pos="1440"/>
        </w:tabs>
        <w:ind w:left="1440" w:hanging="360"/>
      </w:pPr>
    </w:lvl>
    <w:lvl w:ilvl="2" w:tplc="55F8608E" w:tentative="1">
      <w:start w:val="1"/>
      <w:numFmt w:val="decimal"/>
      <w:lvlText w:val="%3."/>
      <w:lvlJc w:val="left"/>
      <w:pPr>
        <w:tabs>
          <w:tab w:val="num" w:pos="2160"/>
        </w:tabs>
        <w:ind w:left="2160" w:hanging="360"/>
      </w:pPr>
    </w:lvl>
    <w:lvl w:ilvl="3" w:tplc="9946BBC4" w:tentative="1">
      <w:start w:val="1"/>
      <w:numFmt w:val="decimal"/>
      <w:lvlText w:val="%4."/>
      <w:lvlJc w:val="left"/>
      <w:pPr>
        <w:tabs>
          <w:tab w:val="num" w:pos="2880"/>
        </w:tabs>
        <w:ind w:left="2880" w:hanging="360"/>
      </w:pPr>
    </w:lvl>
    <w:lvl w:ilvl="4" w:tplc="EC32BAAA" w:tentative="1">
      <w:start w:val="1"/>
      <w:numFmt w:val="decimal"/>
      <w:lvlText w:val="%5."/>
      <w:lvlJc w:val="left"/>
      <w:pPr>
        <w:tabs>
          <w:tab w:val="num" w:pos="3600"/>
        </w:tabs>
        <w:ind w:left="3600" w:hanging="360"/>
      </w:pPr>
    </w:lvl>
    <w:lvl w:ilvl="5" w:tplc="872AEE32" w:tentative="1">
      <w:start w:val="1"/>
      <w:numFmt w:val="decimal"/>
      <w:lvlText w:val="%6."/>
      <w:lvlJc w:val="left"/>
      <w:pPr>
        <w:tabs>
          <w:tab w:val="num" w:pos="4320"/>
        </w:tabs>
        <w:ind w:left="4320" w:hanging="360"/>
      </w:pPr>
    </w:lvl>
    <w:lvl w:ilvl="6" w:tplc="7F3A3EE4" w:tentative="1">
      <w:start w:val="1"/>
      <w:numFmt w:val="decimal"/>
      <w:lvlText w:val="%7."/>
      <w:lvlJc w:val="left"/>
      <w:pPr>
        <w:tabs>
          <w:tab w:val="num" w:pos="5040"/>
        </w:tabs>
        <w:ind w:left="5040" w:hanging="360"/>
      </w:pPr>
    </w:lvl>
    <w:lvl w:ilvl="7" w:tplc="31F63958" w:tentative="1">
      <w:start w:val="1"/>
      <w:numFmt w:val="decimal"/>
      <w:lvlText w:val="%8."/>
      <w:lvlJc w:val="left"/>
      <w:pPr>
        <w:tabs>
          <w:tab w:val="num" w:pos="5760"/>
        </w:tabs>
        <w:ind w:left="5760" w:hanging="360"/>
      </w:pPr>
    </w:lvl>
    <w:lvl w:ilvl="8" w:tplc="6A0CCA8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2"/>
  </w:num>
  <w:num w:numId="4">
    <w:abstractNumId w:val="2"/>
    <w:lvlOverride w:ilvl="0">
      <w:lvl w:ilvl="0" w:tplc="18D2B296">
        <w:numFmt w:val="lowerLetter"/>
        <w:lvlText w:val="%1."/>
        <w:lvlJc w:val="left"/>
      </w:lvl>
    </w:lvlOverride>
  </w:num>
  <w:num w:numId="5">
    <w:abstractNumId w:val="2"/>
    <w:lvlOverride w:ilvl="0">
      <w:lvl w:ilvl="0" w:tplc="18D2B296">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FE"/>
    <w:rsid w:val="00005567"/>
    <w:rsid w:val="00274728"/>
    <w:rsid w:val="002C7841"/>
    <w:rsid w:val="007B589A"/>
    <w:rsid w:val="00935BFE"/>
    <w:rsid w:val="00A8776B"/>
    <w:rsid w:val="00B63FA2"/>
    <w:rsid w:val="00F0436D"/>
    <w:rsid w:val="00F32C49"/>
    <w:rsid w:val="00FA1C46"/>
    <w:rsid w:val="00FE2073"/>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6AA"/>
  <w15:chartTrackingRefBased/>
  <w15:docId w15:val="{E2EE404A-1191-447B-8A30-DD1BE9D9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7</cp:revision>
  <dcterms:created xsi:type="dcterms:W3CDTF">2021-12-06T14:01:00Z</dcterms:created>
  <dcterms:modified xsi:type="dcterms:W3CDTF">2022-03-28T16:03:00Z</dcterms:modified>
</cp:coreProperties>
</file>